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873F" w14:textId="2412596E" w:rsidR="00373BB4" w:rsidRDefault="00132E09" w:rsidP="00B25014">
      <w:pPr>
        <w:jc w:val="center"/>
      </w:pPr>
      <w:r w:rsidRPr="00251144">
        <w:rPr>
          <w:rFonts w:ascii="Arial" w:hAnsi="Arial" w:cs="Arial"/>
          <w:noProof/>
          <w:sz w:val="20"/>
          <w:szCs w:val="20"/>
        </w:rPr>
        <w:drawing>
          <wp:anchor distT="0" distB="0" distL="114300" distR="114300" simplePos="0" relativeHeight="251659264" behindDoc="0" locked="0" layoutInCell="1" allowOverlap="1" wp14:anchorId="5D533BD4" wp14:editId="5A346BF7">
            <wp:simplePos x="0" y="0"/>
            <wp:positionH relativeFrom="column">
              <wp:posOffset>689610</wp:posOffset>
            </wp:positionH>
            <wp:positionV relativeFrom="paragraph">
              <wp:posOffset>0</wp:posOffset>
            </wp:positionV>
            <wp:extent cx="3996690" cy="1358537"/>
            <wp:effectExtent l="0" t="0" r="3810" b="63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8"/>
                    <a:srcRect t="30890" b="28949"/>
                    <a:stretch/>
                  </pic:blipFill>
                  <pic:spPr bwMode="auto">
                    <a:xfrm>
                      <a:off x="0" y="0"/>
                      <a:ext cx="3996690" cy="1358537"/>
                    </a:xfrm>
                    <a:prstGeom prst="rect">
                      <a:avLst/>
                    </a:prstGeom>
                    <a:ln>
                      <a:noFill/>
                    </a:ln>
                    <a:extLst>
                      <a:ext uri="{53640926-AAD7-44D8-BBD7-CCE9431645EC}">
                        <a14:shadowObscured xmlns:a14="http://schemas.microsoft.com/office/drawing/2010/main"/>
                      </a:ext>
                    </a:extLst>
                  </pic:spPr>
                </pic:pic>
              </a:graphicData>
            </a:graphic>
          </wp:anchor>
        </w:drawing>
      </w:r>
    </w:p>
    <w:p w14:paraId="7B4E8740" w14:textId="77777777" w:rsidR="002010DC" w:rsidRPr="00696983" w:rsidRDefault="00B25014" w:rsidP="00696983">
      <w:pPr>
        <w:pStyle w:val="NoSpacing"/>
        <w:rPr>
          <w:b/>
          <w:sz w:val="24"/>
          <w:szCs w:val="24"/>
          <w:lang w:eastAsia="en-GB"/>
        </w:rPr>
      </w:pPr>
      <w:r w:rsidRPr="00696983">
        <w:rPr>
          <w:b/>
          <w:sz w:val="32"/>
          <w:szCs w:val="32"/>
          <w:lang w:eastAsia="en-GB"/>
        </w:rPr>
        <w:t xml:space="preserve">              </w:t>
      </w:r>
    </w:p>
    <w:p w14:paraId="67B5DBDE" w14:textId="77777777" w:rsidR="000A08FE" w:rsidRDefault="000A08FE" w:rsidP="00FA39B2">
      <w:pPr>
        <w:jc w:val="center"/>
        <w:rPr>
          <w:b/>
          <w:sz w:val="36"/>
          <w:szCs w:val="36"/>
        </w:rPr>
      </w:pPr>
    </w:p>
    <w:p w14:paraId="6905E37E" w14:textId="77777777" w:rsidR="000A08FE" w:rsidRDefault="000A08FE" w:rsidP="00FA39B2">
      <w:pPr>
        <w:jc w:val="center"/>
        <w:rPr>
          <w:b/>
          <w:sz w:val="36"/>
          <w:szCs w:val="36"/>
        </w:rPr>
      </w:pPr>
    </w:p>
    <w:p w14:paraId="7B4E8741" w14:textId="46C0AEFC" w:rsidR="00FA39B2" w:rsidRPr="00FA39B2" w:rsidRDefault="00FA39B2" w:rsidP="00FA39B2">
      <w:pPr>
        <w:jc w:val="center"/>
        <w:rPr>
          <w:b/>
          <w:sz w:val="36"/>
          <w:szCs w:val="36"/>
        </w:rPr>
      </w:pPr>
      <w:r w:rsidRPr="00FA39B2">
        <w:rPr>
          <w:b/>
          <w:sz w:val="36"/>
          <w:szCs w:val="36"/>
        </w:rPr>
        <w:t>Irish Waterski and Wakeboarding Federation</w:t>
      </w:r>
    </w:p>
    <w:p w14:paraId="7B4E8742" w14:textId="161C5792" w:rsidR="00FA39B2" w:rsidRPr="00FA39B2" w:rsidRDefault="001E1035" w:rsidP="00FA39B2">
      <w:pPr>
        <w:jc w:val="center"/>
        <w:rPr>
          <w:b/>
          <w:sz w:val="36"/>
          <w:szCs w:val="36"/>
        </w:rPr>
      </w:pPr>
      <w:r>
        <w:rPr>
          <w:b/>
          <w:sz w:val="36"/>
          <w:szCs w:val="36"/>
        </w:rPr>
        <w:t>Whistle</w:t>
      </w:r>
      <w:r w:rsidR="008B2537">
        <w:rPr>
          <w:b/>
          <w:sz w:val="36"/>
          <w:szCs w:val="36"/>
        </w:rPr>
        <w:t>-</w:t>
      </w:r>
      <w:r>
        <w:rPr>
          <w:b/>
          <w:sz w:val="36"/>
          <w:szCs w:val="36"/>
        </w:rPr>
        <w:t>blowing</w:t>
      </w:r>
      <w:r w:rsidR="00FA39B2" w:rsidRPr="00FA39B2">
        <w:rPr>
          <w:b/>
          <w:sz w:val="36"/>
          <w:szCs w:val="36"/>
        </w:rPr>
        <w:t xml:space="preserve"> Policy</w:t>
      </w:r>
    </w:p>
    <w:p w14:paraId="20841391" w14:textId="76FF3D93" w:rsidR="00FD3B91" w:rsidRPr="00FD3B91" w:rsidRDefault="000A08FE" w:rsidP="00FD3B91">
      <w:pPr>
        <w:rPr>
          <w:lang w:val="en-IE"/>
        </w:rPr>
      </w:pPr>
      <w:r w:rsidRPr="000A08FE">
        <w:rPr>
          <w:lang w:val="en-IE"/>
        </w:rPr>
        <w:t>The Irish Waterski and Wakeboard Federation (the IrWWF)</w:t>
      </w:r>
      <w:r w:rsidR="00FD3B91" w:rsidRPr="00FD3B91">
        <w:rPr>
          <w:lang w:val="en-IE"/>
        </w:rPr>
        <w:t xml:space="preserve"> is committed to dealing responsibly, openly and professionally with any concerns </w:t>
      </w:r>
      <w:r w:rsidR="00DF6D60">
        <w:rPr>
          <w:lang w:val="en-IE"/>
        </w:rPr>
        <w:t xml:space="preserve">that volunteers </w:t>
      </w:r>
      <w:r w:rsidR="00FD3B91" w:rsidRPr="00FD3B91">
        <w:rPr>
          <w:lang w:val="en-IE"/>
        </w:rPr>
        <w:t xml:space="preserve">may have about possible malpractice within the </w:t>
      </w:r>
      <w:r w:rsidR="00DF6D60">
        <w:rPr>
          <w:lang w:val="en-IE"/>
        </w:rPr>
        <w:t>organisation</w:t>
      </w:r>
      <w:r w:rsidR="00FD3B91" w:rsidRPr="00FD3B91">
        <w:rPr>
          <w:lang w:val="en-IE"/>
        </w:rPr>
        <w:t>.</w:t>
      </w:r>
    </w:p>
    <w:p w14:paraId="05EF7620" w14:textId="77777777" w:rsidR="00FD3B91" w:rsidRPr="00FD3B91" w:rsidRDefault="00FD3B91" w:rsidP="00FD3B91">
      <w:pPr>
        <w:rPr>
          <w:b/>
          <w:bCs/>
          <w:lang w:val="en-IE"/>
        </w:rPr>
      </w:pPr>
      <w:bookmarkStart w:id="0" w:name="eztoc42296413_0_9"/>
      <w:bookmarkEnd w:id="0"/>
      <w:r w:rsidRPr="00FD3B91">
        <w:rPr>
          <w:b/>
          <w:bCs/>
          <w:lang w:val="en-IE"/>
        </w:rPr>
        <w:t>Introduction</w:t>
      </w:r>
    </w:p>
    <w:p w14:paraId="4E9351F0" w14:textId="25F51D4B" w:rsidR="00FD3B91" w:rsidRPr="00FD3B91" w:rsidRDefault="00FD3B91" w:rsidP="00FD3B91">
      <w:pPr>
        <w:rPr>
          <w:lang w:val="en-IE"/>
        </w:rPr>
      </w:pPr>
      <w:r w:rsidRPr="00FD3B91">
        <w:rPr>
          <w:lang w:val="en-IE"/>
        </w:rPr>
        <w:t xml:space="preserve">Strong values </w:t>
      </w:r>
      <w:r w:rsidR="00DF6D60">
        <w:rPr>
          <w:lang w:val="en-IE"/>
        </w:rPr>
        <w:t xml:space="preserve">are </w:t>
      </w:r>
      <w:r w:rsidRPr="00FD3B91">
        <w:rPr>
          <w:lang w:val="en-IE"/>
        </w:rPr>
        <w:t xml:space="preserve">at the heart of our organisation. One of our core values is integrity and our whistleblowing policy is fundamental to the maintaining this integrity. In addition, it reinforces the value the </w:t>
      </w:r>
      <w:r w:rsidR="00DF6D60">
        <w:rPr>
          <w:lang w:val="en-IE"/>
        </w:rPr>
        <w:t>IrWWF</w:t>
      </w:r>
      <w:r w:rsidRPr="00FD3B91">
        <w:rPr>
          <w:lang w:val="en-IE"/>
        </w:rPr>
        <w:t xml:space="preserve"> places on </w:t>
      </w:r>
      <w:r w:rsidR="00DF6D60">
        <w:rPr>
          <w:lang w:val="en-IE"/>
        </w:rPr>
        <w:t xml:space="preserve">volunteers </w:t>
      </w:r>
      <w:r w:rsidRPr="00FD3B91">
        <w:rPr>
          <w:lang w:val="en-IE"/>
        </w:rPr>
        <w:t>to be honest and respected.</w:t>
      </w:r>
    </w:p>
    <w:p w14:paraId="04BB3364" w14:textId="7059733D" w:rsidR="00FD3B91" w:rsidRPr="00FD3B91" w:rsidRDefault="00FD3B91" w:rsidP="00FD3B91">
      <w:pPr>
        <w:rPr>
          <w:lang w:val="en-IE"/>
        </w:rPr>
      </w:pPr>
      <w:r w:rsidRPr="00FD3B91">
        <w:rPr>
          <w:lang w:val="en-IE"/>
        </w:rPr>
        <w:t xml:space="preserve">To ensure accountability and transparency it is important to have a mechanism that enables all individuals to voice concerns internally in a responsible and effective manner when they discover information which they believe shows serious malpractice. Our whistleblowing policy provides a method of properly addressing bona fide concerns that individuals within the </w:t>
      </w:r>
      <w:r w:rsidR="005A2CA2">
        <w:rPr>
          <w:lang w:val="en-IE"/>
        </w:rPr>
        <w:t xml:space="preserve">organisation </w:t>
      </w:r>
      <w:r w:rsidRPr="00FD3B91">
        <w:rPr>
          <w:lang w:val="en-IE"/>
        </w:rPr>
        <w:t>might have, while also offering whistle</w:t>
      </w:r>
      <w:r w:rsidR="008B2537">
        <w:rPr>
          <w:lang w:val="en-IE"/>
        </w:rPr>
        <w:t>-</w:t>
      </w:r>
      <w:r w:rsidRPr="00FD3B91">
        <w:rPr>
          <w:lang w:val="en-IE"/>
        </w:rPr>
        <w:t>blower’s protection from victimisation, harassment or disciplinary proceedings.</w:t>
      </w:r>
    </w:p>
    <w:p w14:paraId="1CAF3695" w14:textId="2C044638" w:rsidR="00FD3B91" w:rsidRPr="00FD3B91" w:rsidRDefault="00FD3B91" w:rsidP="00FD3B91">
      <w:pPr>
        <w:rPr>
          <w:lang w:val="en-IE"/>
        </w:rPr>
      </w:pPr>
      <w:r w:rsidRPr="00FD3B91">
        <w:rPr>
          <w:lang w:val="en-IE"/>
        </w:rPr>
        <w:t>This policy has been designed in line with the terms of the Protected Disclosures Act 2014 (the “Act”), which sets out the framework for whistle</w:t>
      </w:r>
      <w:r w:rsidR="008B2537">
        <w:rPr>
          <w:lang w:val="en-IE"/>
        </w:rPr>
        <w:t>-</w:t>
      </w:r>
      <w:r w:rsidRPr="00FD3B91">
        <w:rPr>
          <w:lang w:val="en-IE"/>
        </w:rPr>
        <w:t xml:space="preserve">blowing in Ireland. </w:t>
      </w:r>
    </w:p>
    <w:p w14:paraId="08CDAEE6" w14:textId="77777777" w:rsidR="00FD3B91" w:rsidRPr="00FD3B91" w:rsidRDefault="00FD3B91" w:rsidP="00FD3B91">
      <w:pPr>
        <w:rPr>
          <w:b/>
          <w:bCs/>
          <w:lang w:val="en-IE"/>
        </w:rPr>
      </w:pPr>
      <w:bookmarkStart w:id="1" w:name="eztoc42296413_0_10"/>
      <w:bookmarkEnd w:id="1"/>
      <w:r w:rsidRPr="00FD3B91">
        <w:rPr>
          <w:b/>
          <w:bCs/>
          <w:lang w:val="en-IE"/>
        </w:rPr>
        <w:t>Who does this policy apply to?</w:t>
      </w:r>
    </w:p>
    <w:p w14:paraId="55BB6CF1" w14:textId="2CD2922B" w:rsidR="00FD3B91" w:rsidRPr="00FD3B91" w:rsidRDefault="00FD3B91" w:rsidP="00FD3B91">
      <w:pPr>
        <w:rPr>
          <w:lang w:val="en-IE"/>
        </w:rPr>
      </w:pPr>
      <w:r w:rsidRPr="00FD3B91">
        <w:rPr>
          <w:lang w:val="en-IE"/>
        </w:rPr>
        <w:t xml:space="preserve">The policy applies to all </w:t>
      </w:r>
      <w:r w:rsidR="0079517B">
        <w:rPr>
          <w:lang w:val="en-IE"/>
        </w:rPr>
        <w:t>IrWWF volunteers</w:t>
      </w:r>
      <w:r w:rsidRPr="00FD3B91">
        <w:rPr>
          <w:lang w:val="en-IE"/>
        </w:rPr>
        <w:t xml:space="preserve">, including </w:t>
      </w:r>
      <w:r w:rsidR="0079517B">
        <w:rPr>
          <w:lang w:val="en-IE"/>
        </w:rPr>
        <w:t>committee members and board members</w:t>
      </w:r>
      <w:r w:rsidRPr="00FD3B91">
        <w:rPr>
          <w:lang w:val="en-IE"/>
        </w:rPr>
        <w:t>.</w:t>
      </w:r>
    </w:p>
    <w:p w14:paraId="124F4D05" w14:textId="77777777" w:rsidR="00FD3B91" w:rsidRPr="00FD3B91" w:rsidRDefault="00FD3B91" w:rsidP="00FD3B91">
      <w:pPr>
        <w:rPr>
          <w:b/>
          <w:bCs/>
          <w:lang w:val="en-IE"/>
        </w:rPr>
      </w:pPr>
      <w:bookmarkStart w:id="2" w:name="eztoc42296413_0_11"/>
      <w:bookmarkEnd w:id="2"/>
      <w:r w:rsidRPr="00FD3B91">
        <w:rPr>
          <w:b/>
          <w:bCs/>
          <w:lang w:val="en-IE"/>
        </w:rPr>
        <w:t>What types of concerns are covered under this policy?</w:t>
      </w:r>
    </w:p>
    <w:p w14:paraId="074A68C6" w14:textId="10ED8522" w:rsidR="00FD3B91" w:rsidRPr="00FD3B91" w:rsidRDefault="00FD3B91" w:rsidP="00FD3B91">
      <w:pPr>
        <w:rPr>
          <w:lang w:val="en-IE"/>
        </w:rPr>
      </w:pPr>
      <w:r w:rsidRPr="00FD3B91">
        <w:rPr>
          <w:lang w:val="en-IE"/>
        </w:rPr>
        <w:t xml:space="preserve">Whistleblowing is the confidential disclosure by an individual of any concern encountered in the workplace relating to a perceived risk, malpractice or wrongdoing. The </w:t>
      </w:r>
      <w:r w:rsidR="004D7AB4">
        <w:rPr>
          <w:lang w:val="en-IE"/>
        </w:rPr>
        <w:t xml:space="preserve">IrWWF </w:t>
      </w:r>
      <w:r w:rsidRPr="00FD3B91">
        <w:rPr>
          <w:lang w:val="en-IE"/>
        </w:rPr>
        <w:t>considers examples of such wrongdoing or malpractice to include:</w:t>
      </w:r>
    </w:p>
    <w:p w14:paraId="4CA230FF" w14:textId="77777777" w:rsidR="00FD3B91" w:rsidRPr="00FD3B91" w:rsidRDefault="00FD3B91" w:rsidP="001D3E15">
      <w:pPr>
        <w:numPr>
          <w:ilvl w:val="0"/>
          <w:numId w:val="7"/>
        </w:numPr>
        <w:spacing w:after="0"/>
        <w:ind w:left="714" w:hanging="357"/>
        <w:rPr>
          <w:lang w:val="en-IE"/>
        </w:rPr>
      </w:pPr>
      <w:r w:rsidRPr="00FD3B91">
        <w:rPr>
          <w:lang w:val="en-IE"/>
        </w:rPr>
        <w:t>General malpractice – such as immoral, illegal or unethical conduct</w:t>
      </w:r>
    </w:p>
    <w:p w14:paraId="053E81E7" w14:textId="77777777" w:rsidR="00FD3B91" w:rsidRPr="00FD3B91" w:rsidRDefault="00FD3B91" w:rsidP="001D3E15">
      <w:pPr>
        <w:numPr>
          <w:ilvl w:val="0"/>
          <w:numId w:val="7"/>
        </w:numPr>
        <w:spacing w:after="0"/>
        <w:ind w:left="714" w:hanging="357"/>
        <w:rPr>
          <w:lang w:val="en-IE"/>
        </w:rPr>
      </w:pPr>
      <w:r w:rsidRPr="00FD3B91">
        <w:rPr>
          <w:lang w:val="en-IE"/>
        </w:rPr>
        <w:t>Danger to health and safety</w:t>
      </w:r>
    </w:p>
    <w:p w14:paraId="4A0A3789" w14:textId="77777777" w:rsidR="00FD3B91" w:rsidRPr="00FD3B91" w:rsidRDefault="00FD3B91" w:rsidP="001D3E15">
      <w:pPr>
        <w:numPr>
          <w:ilvl w:val="0"/>
          <w:numId w:val="7"/>
        </w:numPr>
        <w:spacing w:after="0"/>
        <w:ind w:left="714" w:hanging="357"/>
        <w:rPr>
          <w:lang w:val="en-IE"/>
        </w:rPr>
      </w:pPr>
      <w:r w:rsidRPr="00FD3B91">
        <w:rPr>
          <w:lang w:val="en-IE"/>
        </w:rPr>
        <w:t>Danger to the environment</w:t>
      </w:r>
    </w:p>
    <w:p w14:paraId="05015A97" w14:textId="77777777" w:rsidR="00FD3B91" w:rsidRPr="00FD3B91" w:rsidRDefault="00FD3B91" w:rsidP="001D3E15">
      <w:pPr>
        <w:numPr>
          <w:ilvl w:val="0"/>
          <w:numId w:val="7"/>
        </w:numPr>
        <w:spacing w:after="0"/>
        <w:ind w:left="714" w:hanging="357"/>
        <w:rPr>
          <w:lang w:val="en-IE"/>
        </w:rPr>
      </w:pPr>
      <w:r w:rsidRPr="00FD3B91">
        <w:rPr>
          <w:lang w:val="en-IE"/>
        </w:rPr>
        <w:t>Breach of a legal obligation</w:t>
      </w:r>
    </w:p>
    <w:p w14:paraId="1FFD01D6" w14:textId="597C21BA" w:rsidR="00FD3B91" w:rsidRPr="00FD3B91" w:rsidRDefault="00FD3B91" w:rsidP="001D3E15">
      <w:pPr>
        <w:numPr>
          <w:ilvl w:val="0"/>
          <w:numId w:val="7"/>
        </w:numPr>
        <w:spacing w:after="0"/>
        <w:ind w:left="714" w:hanging="357"/>
        <w:rPr>
          <w:lang w:val="en-IE"/>
        </w:rPr>
      </w:pPr>
      <w:r w:rsidRPr="00FD3B91">
        <w:rPr>
          <w:lang w:val="en-IE"/>
        </w:rPr>
        <w:t xml:space="preserve">Negligence on the part of the </w:t>
      </w:r>
      <w:r w:rsidR="004D7AB4">
        <w:rPr>
          <w:lang w:val="en-IE"/>
        </w:rPr>
        <w:t>organisation</w:t>
      </w:r>
    </w:p>
    <w:p w14:paraId="483C444F" w14:textId="58EC84EF" w:rsidR="00FD3B91" w:rsidRPr="00FD3B91" w:rsidRDefault="00FD3B91" w:rsidP="001D3E15">
      <w:pPr>
        <w:numPr>
          <w:ilvl w:val="0"/>
          <w:numId w:val="7"/>
        </w:numPr>
        <w:spacing w:after="0"/>
        <w:ind w:left="714" w:hanging="357"/>
        <w:rPr>
          <w:lang w:val="en-IE"/>
        </w:rPr>
      </w:pPr>
      <w:r w:rsidRPr="00FD3B91">
        <w:rPr>
          <w:lang w:val="en-IE"/>
        </w:rPr>
        <w:t xml:space="preserve">Financial misconduct of the </w:t>
      </w:r>
      <w:r w:rsidR="004D7AB4">
        <w:rPr>
          <w:lang w:val="en-IE"/>
        </w:rPr>
        <w:t xml:space="preserve">IrWWF </w:t>
      </w:r>
      <w:r w:rsidRPr="00FD3B91">
        <w:rPr>
          <w:lang w:val="en-IE"/>
        </w:rPr>
        <w:t xml:space="preserve">or any of its </w:t>
      </w:r>
      <w:r w:rsidR="004D7AB4">
        <w:rPr>
          <w:lang w:val="en-IE"/>
        </w:rPr>
        <w:t>volunteers</w:t>
      </w:r>
    </w:p>
    <w:p w14:paraId="4B15752C" w14:textId="2480E910" w:rsidR="00FD3B91" w:rsidRPr="00FD3B91" w:rsidRDefault="00FD3B91" w:rsidP="001D3E15">
      <w:pPr>
        <w:numPr>
          <w:ilvl w:val="0"/>
          <w:numId w:val="7"/>
        </w:numPr>
        <w:spacing w:after="0"/>
        <w:ind w:left="714" w:hanging="357"/>
        <w:rPr>
          <w:lang w:val="en-IE"/>
        </w:rPr>
      </w:pPr>
      <w:r w:rsidRPr="00FD3B91">
        <w:rPr>
          <w:lang w:val="en-IE"/>
        </w:rPr>
        <w:t>Bribery</w:t>
      </w:r>
      <w:r w:rsidR="00C93AE4">
        <w:rPr>
          <w:lang w:val="en-IE"/>
        </w:rPr>
        <w:t>, fraud</w:t>
      </w:r>
      <w:r w:rsidRPr="00FD3B91">
        <w:rPr>
          <w:lang w:val="en-IE"/>
        </w:rPr>
        <w:t xml:space="preserve"> and corruption</w:t>
      </w:r>
    </w:p>
    <w:p w14:paraId="38D7FD82" w14:textId="77777777" w:rsidR="001D3E15" w:rsidRDefault="00FD3B91" w:rsidP="001D3E15">
      <w:pPr>
        <w:numPr>
          <w:ilvl w:val="0"/>
          <w:numId w:val="7"/>
        </w:numPr>
        <w:spacing w:after="0"/>
        <w:ind w:left="714" w:hanging="357"/>
        <w:rPr>
          <w:lang w:val="en-IE"/>
        </w:rPr>
      </w:pPr>
      <w:r w:rsidRPr="00FD3B91">
        <w:rPr>
          <w:lang w:val="en-IE"/>
        </w:rPr>
        <w:t xml:space="preserve">Potential infractions of the </w:t>
      </w:r>
      <w:r w:rsidR="004D7AB4" w:rsidRPr="001D3E15">
        <w:rPr>
          <w:lang w:val="en-IE"/>
        </w:rPr>
        <w:t xml:space="preserve">Governance Code </w:t>
      </w:r>
      <w:r w:rsidR="001D3E15" w:rsidRPr="001D3E15">
        <w:rPr>
          <w:lang w:val="en-IE"/>
        </w:rPr>
        <w:t>for Sport</w:t>
      </w:r>
    </w:p>
    <w:p w14:paraId="1E5A71E0" w14:textId="77777777" w:rsidR="001D3E15" w:rsidRDefault="001D3E15" w:rsidP="001D3E15">
      <w:pPr>
        <w:ind w:left="360"/>
        <w:rPr>
          <w:lang w:val="en-IE"/>
        </w:rPr>
      </w:pPr>
    </w:p>
    <w:p w14:paraId="360F8F4F" w14:textId="696CC758" w:rsidR="00FD3B91" w:rsidRPr="00FD3B91" w:rsidRDefault="00FD3B91" w:rsidP="001D3E15">
      <w:pPr>
        <w:rPr>
          <w:lang w:val="en-IE"/>
        </w:rPr>
      </w:pPr>
      <w:r w:rsidRPr="00FD3B91">
        <w:rPr>
          <w:lang w:val="en-IE"/>
        </w:rPr>
        <w:lastRenderedPageBreak/>
        <w:t>A whistle</w:t>
      </w:r>
      <w:r w:rsidR="008B2537">
        <w:rPr>
          <w:lang w:val="en-IE"/>
        </w:rPr>
        <w:t>-</w:t>
      </w:r>
      <w:r w:rsidRPr="00FD3B91">
        <w:rPr>
          <w:lang w:val="en-IE"/>
        </w:rPr>
        <w:t xml:space="preserve">blower making a “protected disclosure” under the Protected Disclosures Act 2014 is given statutory protection. </w:t>
      </w:r>
    </w:p>
    <w:p w14:paraId="0DF9AD6F" w14:textId="704DDDC5" w:rsidR="00FD3B91" w:rsidRPr="00FD3B91" w:rsidRDefault="00FD3B91" w:rsidP="00FD3B91">
      <w:pPr>
        <w:rPr>
          <w:lang w:val="en-IE"/>
        </w:rPr>
      </w:pPr>
      <w:r w:rsidRPr="00FD3B91">
        <w:rPr>
          <w:lang w:val="en-IE"/>
        </w:rPr>
        <w:t xml:space="preserve">This policy does not cover concerns or complaints about your own personal position. These concerns should be raised through the </w:t>
      </w:r>
      <w:r w:rsidR="001D3E15">
        <w:rPr>
          <w:lang w:val="en-IE"/>
        </w:rPr>
        <w:t>IrWWF’s</w:t>
      </w:r>
      <w:r w:rsidRPr="00FD3B91">
        <w:rPr>
          <w:lang w:val="en-IE"/>
        </w:rPr>
        <w:t xml:space="preserve"> grievance procedure.</w:t>
      </w:r>
    </w:p>
    <w:p w14:paraId="3E7F25BC" w14:textId="77777777" w:rsidR="00FD3B91" w:rsidRPr="00FD3B91" w:rsidRDefault="00FD3B91" w:rsidP="00FD3B91">
      <w:pPr>
        <w:rPr>
          <w:b/>
          <w:bCs/>
          <w:lang w:val="en-IE"/>
        </w:rPr>
      </w:pPr>
      <w:bookmarkStart w:id="3" w:name="eztoc42296413_0_12"/>
      <w:bookmarkEnd w:id="3"/>
      <w:r w:rsidRPr="00FD3B91">
        <w:rPr>
          <w:b/>
          <w:bCs/>
          <w:lang w:val="en-IE"/>
        </w:rPr>
        <w:t>Protections under this policy</w:t>
      </w:r>
    </w:p>
    <w:p w14:paraId="2ED76FCB" w14:textId="73A51776" w:rsidR="00FD3B91" w:rsidRPr="00FD3B91" w:rsidRDefault="00FD3B91" w:rsidP="00FD3B91">
      <w:pPr>
        <w:numPr>
          <w:ilvl w:val="0"/>
          <w:numId w:val="8"/>
        </w:numPr>
        <w:rPr>
          <w:lang w:val="en-IE"/>
        </w:rPr>
      </w:pPr>
      <w:r w:rsidRPr="00FD3B91">
        <w:rPr>
          <w:lang w:val="en-IE"/>
        </w:rPr>
        <w:t xml:space="preserve">All </w:t>
      </w:r>
      <w:r w:rsidR="001D3E15">
        <w:rPr>
          <w:lang w:val="en-IE"/>
        </w:rPr>
        <w:t>volunteers</w:t>
      </w:r>
      <w:r w:rsidRPr="00FD3B91">
        <w:rPr>
          <w:lang w:val="en-IE"/>
        </w:rPr>
        <w:t xml:space="preserve"> are protected from victimisation, harassment or disciplinary action as a result of any disclosure, where the disclosure is made in good faith and is not made maliciously or for personal gain. Where disclosures are made in the public interest, </w:t>
      </w:r>
      <w:r w:rsidR="00BD226B">
        <w:rPr>
          <w:lang w:val="en-IE"/>
        </w:rPr>
        <w:t>volunteers</w:t>
      </w:r>
      <w:r w:rsidR="00BD226B" w:rsidRPr="00FD3B91">
        <w:rPr>
          <w:lang w:val="en-IE"/>
        </w:rPr>
        <w:t xml:space="preserve"> </w:t>
      </w:r>
      <w:r w:rsidRPr="00FD3B91">
        <w:rPr>
          <w:lang w:val="en-IE"/>
        </w:rPr>
        <w:t>will have statutory protection in Ireland under the Protected Disclosures Act 2014.</w:t>
      </w:r>
    </w:p>
    <w:p w14:paraId="19E89810" w14:textId="77777777" w:rsidR="00FD3B91" w:rsidRPr="00FD3B91" w:rsidRDefault="00FD3B91" w:rsidP="00FD3B91">
      <w:pPr>
        <w:numPr>
          <w:ilvl w:val="0"/>
          <w:numId w:val="9"/>
        </w:numPr>
        <w:rPr>
          <w:lang w:val="en-IE"/>
        </w:rPr>
      </w:pPr>
      <w:r w:rsidRPr="00FD3B91">
        <w:rPr>
          <w:lang w:val="en-IE"/>
        </w:rPr>
        <w:t>Any disclosures will be investigated fully including interviews with all the witnesses and other parties involved.</w:t>
      </w:r>
    </w:p>
    <w:p w14:paraId="0B1E6513" w14:textId="1B09F81D" w:rsidR="00FD3B91" w:rsidRPr="00FD3B91" w:rsidRDefault="00FD3B91" w:rsidP="00FD3B91">
      <w:pPr>
        <w:numPr>
          <w:ilvl w:val="0"/>
          <w:numId w:val="10"/>
        </w:numPr>
        <w:rPr>
          <w:lang w:val="en-IE"/>
        </w:rPr>
      </w:pPr>
      <w:r w:rsidRPr="00FD3B91">
        <w:rPr>
          <w:lang w:val="en-IE"/>
        </w:rPr>
        <w:t>The identity of the whistle</w:t>
      </w:r>
      <w:r w:rsidR="008B2537">
        <w:rPr>
          <w:lang w:val="en-IE"/>
        </w:rPr>
        <w:t>-</w:t>
      </w:r>
      <w:r w:rsidRPr="00FD3B91">
        <w:rPr>
          <w:lang w:val="en-IE"/>
        </w:rPr>
        <w:t>blower will be protected at all stages in any internal matter. While the</w:t>
      </w:r>
      <w:r w:rsidR="001D3E15">
        <w:rPr>
          <w:lang w:val="en-IE"/>
        </w:rPr>
        <w:t xml:space="preserve"> IrWWF</w:t>
      </w:r>
      <w:r w:rsidRPr="00FD3B91">
        <w:rPr>
          <w:lang w:val="en-IE"/>
        </w:rPr>
        <w:t xml:space="preserve"> can provide internal anonymity, it cannot guarantee this will be retained if external legal action flows from the disclosure. The </w:t>
      </w:r>
      <w:r w:rsidR="008F3CD1">
        <w:rPr>
          <w:lang w:val="en-IE"/>
        </w:rPr>
        <w:t>IrWWF</w:t>
      </w:r>
      <w:r w:rsidRPr="00FD3B91">
        <w:rPr>
          <w:lang w:val="en-IE"/>
        </w:rPr>
        <w:t xml:space="preserve"> is not accountable for maintaining anonymity where the whistle</w:t>
      </w:r>
      <w:r w:rsidR="008B2537">
        <w:rPr>
          <w:lang w:val="en-IE"/>
        </w:rPr>
        <w:t>-</w:t>
      </w:r>
      <w:r w:rsidRPr="00FD3B91">
        <w:rPr>
          <w:lang w:val="en-IE"/>
        </w:rPr>
        <w:t>blower has told others of the alleged misdemeanour.</w:t>
      </w:r>
    </w:p>
    <w:p w14:paraId="2818336A" w14:textId="1F820593" w:rsidR="00FD3B91" w:rsidRPr="00FD3B91" w:rsidRDefault="00FD3B91" w:rsidP="00FD3B91">
      <w:pPr>
        <w:numPr>
          <w:ilvl w:val="0"/>
          <w:numId w:val="11"/>
        </w:numPr>
        <w:rPr>
          <w:lang w:val="en-IE"/>
        </w:rPr>
      </w:pPr>
      <w:r w:rsidRPr="00FD3B91">
        <w:rPr>
          <w:lang w:val="en-IE"/>
        </w:rPr>
        <w:t xml:space="preserve">Whilst the </w:t>
      </w:r>
      <w:r w:rsidR="00BD226B">
        <w:rPr>
          <w:lang w:val="en-IE"/>
        </w:rPr>
        <w:t xml:space="preserve">IrWWF </w:t>
      </w:r>
      <w:r w:rsidRPr="00FD3B91">
        <w:rPr>
          <w:lang w:val="en-IE"/>
        </w:rPr>
        <w:t xml:space="preserve"> encourages whistle</w:t>
      </w:r>
      <w:r w:rsidR="008B2537">
        <w:rPr>
          <w:lang w:val="en-IE"/>
        </w:rPr>
        <w:t>-</w:t>
      </w:r>
      <w:r w:rsidRPr="00FD3B91">
        <w:rPr>
          <w:lang w:val="en-IE"/>
        </w:rPr>
        <w:t>blowers to identify themselves, anonymous calls will nevertheless be taken seriously and investigated fully. However, the effectiveness of any whistleblowing enquiry may be limited where an individual chooses not to be identified.</w:t>
      </w:r>
    </w:p>
    <w:p w14:paraId="4379351C" w14:textId="77777777" w:rsidR="00FD3B91" w:rsidRPr="00FD3B91" w:rsidRDefault="00FD3B91" w:rsidP="00FD3B91">
      <w:pPr>
        <w:rPr>
          <w:b/>
          <w:bCs/>
          <w:lang w:val="en-IE"/>
        </w:rPr>
      </w:pPr>
      <w:bookmarkStart w:id="4" w:name="eztoc42296413_0_13"/>
      <w:bookmarkEnd w:id="4"/>
      <w:r w:rsidRPr="00FD3B91">
        <w:rPr>
          <w:b/>
          <w:bCs/>
          <w:lang w:val="en-IE"/>
        </w:rPr>
        <w:t>Process for dealing with whistleblowing disclosures</w:t>
      </w:r>
    </w:p>
    <w:p w14:paraId="1BF75794" w14:textId="77777777" w:rsidR="00FD3B91" w:rsidRPr="00FD3B91" w:rsidRDefault="00FD3B91" w:rsidP="00FD3B91">
      <w:pPr>
        <w:rPr>
          <w:b/>
          <w:bCs/>
          <w:lang w:val="en-IE"/>
        </w:rPr>
      </w:pPr>
      <w:bookmarkStart w:id="5" w:name="eztoc42296413_0_13_3"/>
      <w:bookmarkEnd w:id="5"/>
      <w:r w:rsidRPr="00FD3B91">
        <w:rPr>
          <w:b/>
          <w:bCs/>
          <w:lang w:val="en-IE"/>
        </w:rPr>
        <w:t>Internal channels</w:t>
      </w:r>
    </w:p>
    <w:p w14:paraId="7AE78B86" w14:textId="77777777" w:rsidR="00FD3B91" w:rsidRPr="00FD3B91" w:rsidRDefault="00FD3B91" w:rsidP="00FD3B91">
      <w:pPr>
        <w:rPr>
          <w:lang w:val="en-IE"/>
        </w:rPr>
      </w:pPr>
      <w:r w:rsidRPr="00FD3B91">
        <w:rPr>
          <w:lang w:val="en-IE"/>
        </w:rPr>
        <w:t>Individuals may raise a concern through various channels:</w:t>
      </w:r>
    </w:p>
    <w:p w14:paraId="1FE08DD1" w14:textId="7D2A340C" w:rsidR="00FD3B91" w:rsidRPr="00FD3B91" w:rsidRDefault="00516510" w:rsidP="008F3CD1">
      <w:pPr>
        <w:numPr>
          <w:ilvl w:val="0"/>
          <w:numId w:val="12"/>
        </w:numPr>
        <w:spacing w:after="0"/>
        <w:ind w:left="714" w:hanging="357"/>
        <w:rPr>
          <w:lang w:val="en-IE"/>
        </w:rPr>
      </w:pPr>
      <w:r>
        <w:rPr>
          <w:lang w:val="en-IE"/>
        </w:rPr>
        <w:t>The Secretary of the Committee</w:t>
      </w:r>
      <w:r w:rsidR="00154DCA">
        <w:rPr>
          <w:lang w:val="en-IE"/>
        </w:rPr>
        <w:t xml:space="preserve"> –</w:t>
      </w:r>
      <w:r w:rsidR="00AF5A51">
        <w:rPr>
          <w:rStyle w:val="Hyperlink"/>
          <w:lang w:val="en-IE"/>
        </w:rPr>
        <w:t xml:space="preserve"> </w:t>
      </w:r>
      <w:r w:rsidR="002A2672">
        <w:rPr>
          <w:lang w:val="en-IE"/>
        </w:rPr>
        <w:t xml:space="preserve"> </w:t>
      </w:r>
      <w:r w:rsidR="00AC4BE4">
        <w:rPr>
          <w:lang w:val="en-IE"/>
        </w:rPr>
        <w:t xml:space="preserve"> </w:t>
      </w:r>
      <w:r w:rsidR="00CD4927" w:rsidRPr="00CD4927">
        <w:rPr>
          <w:lang w:val="en-IE"/>
        </w:rPr>
        <w:t>stonesthrow.cc@gmail.com</w:t>
      </w:r>
    </w:p>
    <w:p w14:paraId="04AD4167" w14:textId="5D094DC8" w:rsidR="00FD3B91" w:rsidRDefault="00FD3B91" w:rsidP="008F3CD1">
      <w:pPr>
        <w:numPr>
          <w:ilvl w:val="0"/>
          <w:numId w:val="12"/>
        </w:numPr>
        <w:spacing w:after="0"/>
        <w:ind w:left="714" w:hanging="357"/>
        <w:rPr>
          <w:lang w:val="en-IE"/>
        </w:rPr>
      </w:pPr>
      <w:r w:rsidRPr="00FD3B91">
        <w:rPr>
          <w:lang w:val="en-IE"/>
        </w:rPr>
        <w:t xml:space="preserve">The </w:t>
      </w:r>
      <w:r w:rsidR="00516510">
        <w:rPr>
          <w:lang w:val="en-IE"/>
        </w:rPr>
        <w:t>President</w:t>
      </w:r>
      <w:r w:rsidR="00154DCA">
        <w:rPr>
          <w:lang w:val="en-IE"/>
        </w:rPr>
        <w:t xml:space="preserve"> - </w:t>
      </w:r>
      <w:r w:rsidR="00AF5A51">
        <w:t xml:space="preserve"> </w:t>
      </w:r>
      <w:r w:rsidR="00867E9B" w:rsidRPr="00867E9B">
        <w:t>simon.durham@talonoutdoor.com</w:t>
      </w:r>
    </w:p>
    <w:p w14:paraId="0C24EF29" w14:textId="119E4F94" w:rsidR="00516510" w:rsidRPr="00FD3B91" w:rsidRDefault="00516510" w:rsidP="008F3CD1">
      <w:pPr>
        <w:numPr>
          <w:ilvl w:val="0"/>
          <w:numId w:val="12"/>
        </w:numPr>
        <w:spacing w:after="0"/>
        <w:ind w:left="714" w:hanging="357"/>
        <w:rPr>
          <w:lang w:val="en-IE"/>
        </w:rPr>
      </w:pPr>
      <w:r>
        <w:rPr>
          <w:lang w:val="en-IE"/>
        </w:rPr>
        <w:t>The Company Secretary</w:t>
      </w:r>
      <w:r w:rsidR="001F4FD5">
        <w:rPr>
          <w:lang w:val="en-IE"/>
        </w:rPr>
        <w:t xml:space="preserve"> - </w:t>
      </w:r>
      <w:hyperlink r:id="rId9" w:history="1">
        <w:r w:rsidR="00AC4BE4" w:rsidRPr="006C267D">
          <w:rPr>
            <w:rStyle w:val="Hyperlink"/>
            <w:lang w:val="en-IE"/>
          </w:rPr>
          <w:t>cathalocaoimh.irwwf@gmail.com</w:t>
        </w:r>
      </w:hyperlink>
      <w:r w:rsidR="00AC4BE4">
        <w:rPr>
          <w:lang w:val="en-IE"/>
        </w:rPr>
        <w:t xml:space="preserve"> </w:t>
      </w:r>
    </w:p>
    <w:p w14:paraId="6147C610" w14:textId="77777777" w:rsidR="00300A2B" w:rsidRDefault="00300A2B" w:rsidP="00FD3B91">
      <w:pPr>
        <w:rPr>
          <w:lang w:val="en-IE"/>
        </w:rPr>
      </w:pPr>
    </w:p>
    <w:p w14:paraId="5761588C" w14:textId="353B5993" w:rsidR="00FD3B91" w:rsidRPr="00FD3B91" w:rsidRDefault="00FD3B91" w:rsidP="00FD3B91">
      <w:pPr>
        <w:rPr>
          <w:lang w:val="en-IE"/>
        </w:rPr>
      </w:pPr>
      <w:r w:rsidRPr="00FD3B91">
        <w:rPr>
          <w:lang w:val="en-IE"/>
        </w:rPr>
        <w:t>If these contacts are unavailable, or if the whistle</w:t>
      </w:r>
      <w:r w:rsidR="008B2537">
        <w:rPr>
          <w:lang w:val="en-IE"/>
        </w:rPr>
        <w:t>-</w:t>
      </w:r>
      <w:r w:rsidRPr="00FD3B91">
        <w:rPr>
          <w:lang w:val="en-IE"/>
        </w:rPr>
        <w:t>blower is concerned about making a disclosure to any of the above, they may make a disclosure to:</w:t>
      </w:r>
    </w:p>
    <w:p w14:paraId="4C8ED29E" w14:textId="0109A8A8" w:rsidR="00FD3B91" w:rsidRPr="00FD3B91" w:rsidRDefault="00516510" w:rsidP="00FD3B91">
      <w:pPr>
        <w:numPr>
          <w:ilvl w:val="0"/>
          <w:numId w:val="13"/>
        </w:numPr>
        <w:rPr>
          <w:lang w:val="en-IE"/>
        </w:rPr>
      </w:pPr>
      <w:r>
        <w:rPr>
          <w:lang w:val="en-IE"/>
        </w:rPr>
        <w:t>Chairman of the Board</w:t>
      </w:r>
      <w:r w:rsidR="00AC4BE4">
        <w:rPr>
          <w:lang w:val="en-IE"/>
        </w:rPr>
        <w:t xml:space="preserve"> - </w:t>
      </w:r>
      <w:hyperlink r:id="rId10" w:history="1">
        <w:r w:rsidR="008B2537" w:rsidRPr="00484FAD">
          <w:rPr>
            <w:rStyle w:val="Hyperlink"/>
          </w:rPr>
          <w:t>dzebedeeirwwf@gmail.com</w:t>
        </w:r>
      </w:hyperlink>
      <w:r w:rsidR="008B2537">
        <w:t xml:space="preserve"> </w:t>
      </w:r>
    </w:p>
    <w:p w14:paraId="1E32D67C" w14:textId="0194B892" w:rsidR="00FD3B91" w:rsidRPr="00FD3B91" w:rsidRDefault="00FD3B91" w:rsidP="00FD3B91">
      <w:pPr>
        <w:rPr>
          <w:lang w:val="en-IE"/>
        </w:rPr>
      </w:pPr>
      <w:r w:rsidRPr="00FD3B91">
        <w:rPr>
          <w:lang w:val="en-IE"/>
        </w:rPr>
        <w:t xml:space="preserve">All whistleblowing disclosures made to the parties above will be treated as confidential and will be reported to the </w:t>
      </w:r>
      <w:r w:rsidR="00300A2B">
        <w:rPr>
          <w:lang w:val="en-IE"/>
        </w:rPr>
        <w:t>Board</w:t>
      </w:r>
      <w:r w:rsidRPr="00FD3B91">
        <w:rPr>
          <w:lang w:val="en-IE"/>
        </w:rPr>
        <w:t>.</w:t>
      </w:r>
    </w:p>
    <w:p w14:paraId="1F5B19C8" w14:textId="5F1EC7A6" w:rsidR="00FD3B91" w:rsidRPr="00FD3B91" w:rsidRDefault="00FD3B91" w:rsidP="00FD3B91">
      <w:pPr>
        <w:rPr>
          <w:lang w:val="en-IE"/>
        </w:rPr>
      </w:pPr>
      <w:r w:rsidRPr="00FD3B91">
        <w:rPr>
          <w:lang w:val="en-IE"/>
        </w:rPr>
        <w:t xml:space="preserve">The </w:t>
      </w:r>
      <w:r w:rsidR="008B2537" w:rsidRPr="00FD3B91">
        <w:rPr>
          <w:lang w:val="en-IE"/>
        </w:rPr>
        <w:t>whistle-blower</w:t>
      </w:r>
      <w:r w:rsidRPr="00FD3B91">
        <w:rPr>
          <w:lang w:val="en-IE"/>
        </w:rPr>
        <w:t xml:space="preserve"> should make it clear that they are making their disclosure within the terms of the </w:t>
      </w:r>
      <w:r w:rsidR="00BD226B">
        <w:rPr>
          <w:lang w:val="en-IE"/>
        </w:rPr>
        <w:t>IrWWF</w:t>
      </w:r>
      <w:r w:rsidRPr="00FD3B91">
        <w:rPr>
          <w:lang w:val="en-IE"/>
        </w:rPr>
        <w:t>’s whistleblowing policy. This will ensure the recipient of the disclosure realises this and takes the necessary action to investigate the disclosure and to protect the whistle</w:t>
      </w:r>
      <w:r w:rsidR="008B2537">
        <w:rPr>
          <w:lang w:val="en-IE"/>
        </w:rPr>
        <w:t>-</w:t>
      </w:r>
      <w:r w:rsidRPr="00FD3B91">
        <w:rPr>
          <w:lang w:val="en-IE"/>
        </w:rPr>
        <w:t>blower’s identity.</w:t>
      </w:r>
    </w:p>
    <w:p w14:paraId="7B4E8767" w14:textId="77777777" w:rsidR="006459DA" w:rsidRPr="00561987" w:rsidRDefault="006459DA" w:rsidP="006459DA">
      <w:pPr>
        <w:rPr>
          <w:b/>
        </w:rPr>
      </w:pPr>
      <w:bookmarkStart w:id="6" w:name="eztoc42296413_0_13_4"/>
      <w:bookmarkEnd w:id="6"/>
      <w:r w:rsidRPr="00561987">
        <w:rPr>
          <w:b/>
        </w:rPr>
        <w:t>Adoption</w:t>
      </w:r>
      <w:r>
        <w:rPr>
          <w:b/>
        </w:rPr>
        <w:t xml:space="preserve"> and review</w:t>
      </w:r>
    </w:p>
    <w:p w14:paraId="42E061E2" w14:textId="77777777" w:rsidR="007F7AEB" w:rsidRPr="007F7AEB" w:rsidRDefault="007F7AEB" w:rsidP="007F7AEB">
      <w:pPr>
        <w:spacing w:after="0"/>
        <w:rPr>
          <w:lang w:val="en-US"/>
        </w:rPr>
      </w:pPr>
      <w:r w:rsidRPr="007F7AEB">
        <w:rPr>
          <w:lang w:val="en-US"/>
        </w:rPr>
        <w:t>A summary of this document’s version history is as follows:</w:t>
      </w:r>
    </w:p>
    <w:p w14:paraId="3517E2CF" w14:textId="77777777" w:rsidR="007F7AEB" w:rsidRPr="007F7AEB" w:rsidRDefault="007F7AEB" w:rsidP="007F7AEB">
      <w:pPr>
        <w:spacing w:after="0"/>
      </w:pPr>
    </w:p>
    <w:tbl>
      <w:tblPr>
        <w:tblStyle w:val="TableGrid"/>
        <w:tblW w:w="8710" w:type="dxa"/>
        <w:tblInd w:w="357" w:type="dxa"/>
        <w:tblLook w:val="04A0" w:firstRow="1" w:lastRow="0" w:firstColumn="1" w:lastColumn="0" w:noHBand="0" w:noVBand="1"/>
      </w:tblPr>
      <w:tblGrid>
        <w:gridCol w:w="2184"/>
        <w:gridCol w:w="3833"/>
        <w:gridCol w:w="2693"/>
      </w:tblGrid>
      <w:tr w:rsidR="007F7AEB" w:rsidRPr="007F7AEB" w14:paraId="0707871B" w14:textId="77777777" w:rsidTr="00946625">
        <w:tc>
          <w:tcPr>
            <w:tcW w:w="2184" w:type="dxa"/>
          </w:tcPr>
          <w:p w14:paraId="7064F284" w14:textId="77777777" w:rsidR="007F7AEB" w:rsidRPr="007F7AEB" w:rsidRDefault="007F7AEB" w:rsidP="007F7AEB">
            <w:pPr>
              <w:spacing w:line="276" w:lineRule="auto"/>
              <w:rPr>
                <w:b/>
                <w:bCs/>
              </w:rPr>
            </w:pPr>
            <w:r w:rsidRPr="007F7AEB">
              <w:rPr>
                <w:b/>
                <w:bCs/>
              </w:rPr>
              <w:lastRenderedPageBreak/>
              <w:t>Date</w:t>
            </w:r>
          </w:p>
        </w:tc>
        <w:tc>
          <w:tcPr>
            <w:tcW w:w="3833" w:type="dxa"/>
          </w:tcPr>
          <w:p w14:paraId="6BB8B18E" w14:textId="77777777" w:rsidR="007F7AEB" w:rsidRPr="007F7AEB" w:rsidRDefault="007F7AEB" w:rsidP="007F7AEB">
            <w:pPr>
              <w:spacing w:line="276" w:lineRule="auto"/>
              <w:rPr>
                <w:b/>
                <w:bCs/>
              </w:rPr>
            </w:pPr>
            <w:r w:rsidRPr="007F7AEB">
              <w:rPr>
                <w:b/>
                <w:bCs/>
              </w:rPr>
              <w:t>Purpose</w:t>
            </w:r>
          </w:p>
        </w:tc>
        <w:tc>
          <w:tcPr>
            <w:tcW w:w="2693" w:type="dxa"/>
          </w:tcPr>
          <w:p w14:paraId="27807B50" w14:textId="77777777" w:rsidR="007F7AEB" w:rsidRPr="007F7AEB" w:rsidRDefault="007F7AEB" w:rsidP="007F7AEB">
            <w:pPr>
              <w:spacing w:line="276" w:lineRule="auto"/>
              <w:rPr>
                <w:b/>
                <w:bCs/>
              </w:rPr>
            </w:pPr>
            <w:r w:rsidRPr="007F7AEB">
              <w:rPr>
                <w:b/>
                <w:bCs/>
              </w:rPr>
              <w:t>Approved by</w:t>
            </w:r>
          </w:p>
        </w:tc>
      </w:tr>
      <w:tr w:rsidR="007F7AEB" w:rsidRPr="007F7AEB" w14:paraId="26C60732" w14:textId="77777777" w:rsidTr="00946625">
        <w:tc>
          <w:tcPr>
            <w:tcW w:w="2184" w:type="dxa"/>
          </w:tcPr>
          <w:p w14:paraId="46D6BE85" w14:textId="0894E150" w:rsidR="007F7AEB" w:rsidRPr="007F7AEB" w:rsidRDefault="007F7AEB" w:rsidP="007F7AEB">
            <w:pPr>
              <w:spacing w:line="276" w:lineRule="auto"/>
            </w:pPr>
            <w:r>
              <w:t>29 November 2021</w:t>
            </w:r>
          </w:p>
        </w:tc>
        <w:tc>
          <w:tcPr>
            <w:tcW w:w="3833" w:type="dxa"/>
          </w:tcPr>
          <w:p w14:paraId="3757D87F" w14:textId="77777777" w:rsidR="007F7AEB" w:rsidRPr="007F7AEB" w:rsidRDefault="007F7AEB" w:rsidP="007F7AEB">
            <w:pPr>
              <w:spacing w:line="276" w:lineRule="auto"/>
            </w:pPr>
            <w:r w:rsidRPr="007F7AEB">
              <w:t>Original adoption</w:t>
            </w:r>
          </w:p>
        </w:tc>
        <w:tc>
          <w:tcPr>
            <w:tcW w:w="2693" w:type="dxa"/>
          </w:tcPr>
          <w:p w14:paraId="4019545B" w14:textId="77777777" w:rsidR="007F7AEB" w:rsidRPr="007F7AEB" w:rsidRDefault="007F7AEB" w:rsidP="007F7AEB">
            <w:pPr>
              <w:spacing w:line="276" w:lineRule="auto"/>
            </w:pPr>
            <w:r w:rsidRPr="007F7AEB">
              <w:t>Board</w:t>
            </w:r>
          </w:p>
        </w:tc>
      </w:tr>
      <w:tr w:rsidR="007F7AEB" w:rsidRPr="007F7AEB" w14:paraId="3EDE3F78" w14:textId="77777777" w:rsidTr="00946625">
        <w:tc>
          <w:tcPr>
            <w:tcW w:w="2184" w:type="dxa"/>
          </w:tcPr>
          <w:p w14:paraId="160EBE5E" w14:textId="256C5FB7" w:rsidR="007F7AEB" w:rsidRPr="007F7AEB" w:rsidRDefault="007F7AEB" w:rsidP="007F7AEB">
            <w:pPr>
              <w:spacing w:line="276" w:lineRule="auto"/>
            </w:pPr>
            <w:r w:rsidRPr="007F7AEB">
              <w:t>1</w:t>
            </w:r>
            <w:r>
              <w:t>2</w:t>
            </w:r>
            <w:r w:rsidRPr="007F7AEB">
              <w:t xml:space="preserve"> Dec</w:t>
            </w:r>
            <w:r>
              <w:t>ember</w:t>
            </w:r>
            <w:r w:rsidRPr="007F7AEB">
              <w:t xml:space="preserve"> 2022</w:t>
            </w:r>
          </w:p>
        </w:tc>
        <w:tc>
          <w:tcPr>
            <w:tcW w:w="3833" w:type="dxa"/>
          </w:tcPr>
          <w:p w14:paraId="4EA9CE46" w14:textId="7973C4D6" w:rsidR="007F7AEB" w:rsidRPr="007F7AEB" w:rsidRDefault="007F7AEB" w:rsidP="007F7AEB">
            <w:pPr>
              <w:spacing w:line="276" w:lineRule="auto"/>
            </w:pPr>
            <w:r>
              <w:t>Annua; r</w:t>
            </w:r>
            <w:r w:rsidRPr="007F7AEB">
              <w:t>eview</w:t>
            </w:r>
          </w:p>
        </w:tc>
        <w:tc>
          <w:tcPr>
            <w:tcW w:w="2693" w:type="dxa"/>
          </w:tcPr>
          <w:p w14:paraId="635B411F" w14:textId="77777777" w:rsidR="007F7AEB" w:rsidRPr="007F7AEB" w:rsidRDefault="007F7AEB" w:rsidP="007F7AEB">
            <w:pPr>
              <w:spacing w:line="276" w:lineRule="auto"/>
            </w:pPr>
            <w:r w:rsidRPr="007F7AEB">
              <w:t>Board</w:t>
            </w:r>
          </w:p>
        </w:tc>
      </w:tr>
      <w:tr w:rsidR="007F7AEB" w:rsidRPr="007F7AEB" w14:paraId="09C7AC0A" w14:textId="77777777" w:rsidTr="00946625">
        <w:tc>
          <w:tcPr>
            <w:tcW w:w="2184" w:type="dxa"/>
          </w:tcPr>
          <w:p w14:paraId="6F35A613" w14:textId="114C7982" w:rsidR="007F7AEB" w:rsidRPr="007F7AEB" w:rsidRDefault="007F7AEB" w:rsidP="007F7AEB">
            <w:pPr>
              <w:spacing w:line="276" w:lineRule="auto"/>
            </w:pPr>
            <w:r>
              <w:t>25 September</w:t>
            </w:r>
            <w:r w:rsidRPr="007F7AEB">
              <w:t xml:space="preserve"> 2023</w:t>
            </w:r>
          </w:p>
        </w:tc>
        <w:tc>
          <w:tcPr>
            <w:tcW w:w="3833" w:type="dxa"/>
          </w:tcPr>
          <w:p w14:paraId="78310BAE" w14:textId="77777777" w:rsidR="007F7AEB" w:rsidRPr="007F7AEB" w:rsidRDefault="007F7AEB" w:rsidP="007F7AEB">
            <w:pPr>
              <w:spacing w:line="276" w:lineRule="auto"/>
            </w:pPr>
            <w:r w:rsidRPr="007F7AEB">
              <w:t>Annual review</w:t>
            </w:r>
          </w:p>
        </w:tc>
        <w:tc>
          <w:tcPr>
            <w:tcW w:w="2693" w:type="dxa"/>
          </w:tcPr>
          <w:p w14:paraId="0C99F7E4" w14:textId="77777777" w:rsidR="007F7AEB" w:rsidRPr="007F7AEB" w:rsidRDefault="007F7AEB" w:rsidP="007F7AEB">
            <w:pPr>
              <w:spacing w:line="276" w:lineRule="auto"/>
            </w:pPr>
            <w:r w:rsidRPr="007F7AEB">
              <w:t>Board</w:t>
            </w:r>
          </w:p>
        </w:tc>
      </w:tr>
    </w:tbl>
    <w:p w14:paraId="4C1FB6AD" w14:textId="77777777" w:rsidR="007F7AEB" w:rsidRPr="007F7AEB" w:rsidRDefault="007F7AEB" w:rsidP="007F7AEB">
      <w:pPr>
        <w:spacing w:after="0"/>
      </w:pPr>
    </w:p>
    <w:p w14:paraId="77AFE9C7" w14:textId="77777777" w:rsidR="007F7AEB" w:rsidRPr="007F7AEB" w:rsidRDefault="007F7AEB" w:rsidP="007F7AEB">
      <w:pPr>
        <w:spacing w:after="0"/>
      </w:pPr>
    </w:p>
    <w:p w14:paraId="731F7882" w14:textId="77777777" w:rsidR="00472FCE" w:rsidRDefault="00472FCE" w:rsidP="006459DA">
      <w:pPr>
        <w:spacing w:after="0"/>
      </w:pPr>
    </w:p>
    <w:p w14:paraId="7B4E8769" w14:textId="77777777" w:rsidR="006459DA" w:rsidRDefault="006459DA" w:rsidP="006459DA">
      <w:pPr>
        <w:pStyle w:val="NoSpacing"/>
      </w:pPr>
      <w:r>
        <w:t>This policy will be reviewed annually by the Board and updated accordingly.</w:t>
      </w:r>
    </w:p>
    <w:p w14:paraId="2026EC0F" w14:textId="77777777" w:rsidR="00CF7566" w:rsidRDefault="00CF7566" w:rsidP="006459DA">
      <w:pPr>
        <w:pStyle w:val="NoSpacing"/>
      </w:pPr>
    </w:p>
    <w:p w14:paraId="090587CE" w14:textId="77777777" w:rsidR="00310DA3" w:rsidRDefault="00310DA3" w:rsidP="006459DA">
      <w:pPr>
        <w:pStyle w:val="NoSpacing"/>
      </w:pPr>
    </w:p>
    <w:p w14:paraId="74B800E8" w14:textId="77777777" w:rsidR="007F7AEB" w:rsidRDefault="007F7AEB" w:rsidP="006459DA">
      <w:pPr>
        <w:pStyle w:val="NoSpacing"/>
      </w:pPr>
    </w:p>
    <w:p w14:paraId="5ABB8191" w14:textId="77777777" w:rsidR="007F7AEB" w:rsidRDefault="007F7AEB" w:rsidP="006459DA">
      <w:pPr>
        <w:pStyle w:val="NoSpacing"/>
      </w:pPr>
    </w:p>
    <w:p w14:paraId="7B4E876A" w14:textId="22F2CEDB" w:rsidR="00C44250" w:rsidRPr="00C44250" w:rsidRDefault="00CF7566" w:rsidP="00C96D86">
      <w:pPr>
        <w:pStyle w:val="NoSpacing"/>
        <w:rPr>
          <w:sz w:val="24"/>
          <w:szCs w:val="24"/>
          <w:lang w:eastAsia="en-GB"/>
        </w:rPr>
      </w:pPr>
      <w:r>
        <w:t>Date</w:t>
      </w:r>
      <w:r w:rsidR="00310DA3">
        <w:t>d</w:t>
      </w:r>
      <w:r>
        <w:t xml:space="preserve">: </w:t>
      </w:r>
      <w:r w:rsidR="007F7AEB">
        <w:t>25 September 2023</w:t>
      </w:r>
    </w:p>
    <w:sectPr w:rsidR="00C44250" w:rsidRPr="00C44250" w:rsidSect="00CB3317">
      <w:pgSz w:w="11906" w:h="16838"/>
      <w:pgMar w:top="62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C1A2" w14:textId="77777777" w:rsidR="002C5721" w:rsidRDefault="002C5721" w:rsidP="00CB3317">
      <w:pPr>
        <w:spacing w:after="0" w:line="240" w:lineRule="auto"/>
      </w:pPr>
      <w:r>
        <w:separator/>
      </w:r>
    </w:p>
  </w:endnote>
  <w:endnote w:type="continuationSeparator" w:id="0">
    <w:p w14:paraId="082D09C5" w14:textId="77777777" w:rsidR="002C5721" w:rsidRDefault="002C5721" w:rsidP="00CB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2355" w14:textId="77777777" w:rsidR="002C5721" w:rsidRDefault="002C5721" w:rsidP="00CB3317">
      <w:pPr>
        <w:spacing w:after="0" w:line="240" w:lineRule="auto"/>
      </w:pPr>
      <w:r>
        <w:separator/>
      </w:r>
    </w:p>
  </w:footnote>
  <w:footnote w:type="continuationSeparator" w:id="0">
    <w:p w14:paraId="767B5C7A" w14:textId="77777777" w:rsidR="002C5721" w:rsidRDefault="002C5721" w:rsidP="00CB3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FAA"/>
    <w:multiLevelType w:val="hybridMultilevel"/>
    <w:tmpl w:val="70746A4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356433"/>
    <w:multiLevelType w:val="multilevel"/>
    <w:tmpl w:val="ADDA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7473B"/>
    <w:multiLevelType w:val="multilevel"/>
    <w:tmpl w:val="D29C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F06CD"/>
    <w:multiLevelType w:val="multilevel"/>
    <w:tmpl w:val="3C12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E5F47"/>
    <w:multiLevelType w:val="hybridMultilevel"/>
    <w:tmpl w:val="050C0C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2F69F3"/>
    <w:multiLevelType w:val="hybridMultilevel"/>
    <w:tmpl w:val="E08E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507520"/>
    <w:multiLevelType w:val="multilevel"/>
    <w:tmpl w:val="6128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B3ADB"/>
    <w:multiLevelType w:val="multilevel"/>
    <w:tmpl w:val="3B64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D4FC8"/>
    <w:multiLevelType w:val="hybridMultilevel"/>
    <w:tmpl w:val="16D407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5141CE1"/>
    <w:multiLevelType w:val="multilevel"/>
    <w:tmpl w:val="2874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6656BE"/>
    <w:multiLevelType w:val="hybridMultilevel"/>
    <w:tmpl w:val="2976E8C2"/>
    <w:lvl w:ilvl="0" w:tplc="4A62FFE8">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640E4958"/>
    <w:multiLevelType w:val="hybridMultilevel"/>
    <w:tmpl w:val="026081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7F2B639A"/>
    <w:multiLevelType w:val="multilevel"/>
    <w:tmpl w:val="C16C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731064">
    <w:abstractNumId w:val="4"/>
  </w:num>
  <w:num w:numId="2" w16cid:durableId="1827235919">
    <w:abstractNumId w:val="0"/>
  </w:num>
  <w:num w:numId="3" w16cid:durableId="366951274">
    <w:abstractNumId w:val="8"/>
  </w:num>
  <w:num w:numId="4" w16cid:durableId="1884780153">
    <w:abstractNumId w:val="11"/>
  </w:num>
  <w:num w:numId="5" w16cid:durableId="1656184312">
    <w:abstractNumId w:val="10"/>
  </w:num>
  <w:num w:numId="6" w16cid:durableId="1811510241">
    <w:abstractNumId w:val="5"/>
  </w:num>
  <w:num w:numId="7" w16cid:durableId="149910872">
    <w:abstractNumId w:val="2"/>
  </w:num>
  <w:num w:numId="8" w16cid:durableId="153450863">
    <w:abstractNumId w:val="9"/>
  </w:num>
  <w:num w:numId="9" w16cid:durableId="831485660">
    <w:abstractNumId w:val="3"/>
  </w:num>
  <w:num w:numId="10" w16cid:durableId="377164054">
    <w:abstractNumId w:val="7"/>
  </w:num>
  <w:num w:numId="11" w16cid:durableId="336154319">
    <w:abstractNumId w:val="12"/>
  </w:num>
  <w:num w:numId="12" w16cid:durableId="946543083">
    <w:abstractNumId w:val="6"/>
  </w:num>
  <w:num w:numId="13" w16cid:durableId="702754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A7"/>
    <w:rsid w:val="00031A0A"/>
    <w:rsid w:val="00032FB9"/>
    <w:rsid w:val="0008179B"/>
    <w:rsid w:val="00087394"/>
    <w:rsid w:val="000A08FE"/>
    <w:rsid w:val="000B738F"/>
    <w:rsid w:val="000D34A1"/>
    <w:rsid w:val="000E63AC"/>
    <w:rsid w:val="000F2E92"/>
    <w:rsid w:val="001075A6"/>
    <w:rsid w:val="00132E09"/>
    <w:rsid w:val="00154DCA"/>
    <w:rsid w:val="001A230F"/>
    <w:rsid w:val="001A2E15"/>
    <w:rsid w:val="001C7C0B"/>
    <w:rsid w:val="001D3E15"/>
    <w:rsid w:val="001E1035"/>
    <w:rsid w:val="001E2FA0"/>
    <w:rsid w:val="001F4FD5"/>
    <w:rsid w:val="002010DC"/>
    <w:rsid w:val="00216A3A"/>
    <w:rsid w:val="00286744"/>
    <w:rsid w:val="002A2672"/>
    <w:rsid w:val="002C5721"/>
    <w:rsid w:val="002D4E1D"/>
    <w:rsid w:val="002D6111"/>
    <w:rsid w:val="00300A2B"/>
    <w:rsid w:val="00310DA3"/>
    <w:rsid w:val="00334F4B"/>
    <w:rsid w:val="00373BB4"/>
    <w:rsid w:val="00386939"/>
    <w:rsid w:val="003B3D73"/>
    <w:rsid w:val="003D2088"/>
    <w:rsid w:val="00447567"/>
    <w:rsid w:val="00472FCE"/>
    <w:rsid w:val="004910D8"/>
    <w:rsid w:val="00491BCD"/>
    <w:rsid w:val="004A1C08"/>
    <w:rsid w:val="004A4C2B"/>
    <w:rsid w:val="004D7AB4"/>
    <w:rsid w:val="004E7C9B"/>
    <w:rsid w:val="00516510"/>
    <w:rsid w:val="005323CA"/>
    <w:rsid w:val="00541C64"/>
    <w:rsid w:val="005A2CA2"/>
    <w:rsid w:val="005B0B41"/>
    <w:rsid w:val="005B58B9"/>
    <w:rsid w:val="005B5C0D"/>
    <w:rsid w:val="005F73D3"/>
    <w:rsid w:val="006016F8"/>
    <w:rsid w:val="006300E4"/>
    <w:rsid w:val="006459DA"/>
    <w:rsid w:val="00657DD9"/>
    <w:rsid w:val="00681DE4"/>
    <w:rsid w:val="00696983"/>
    <w:rsid w:val="006A6E03"/>
    <w:rsid w:val="006C0F3B"/>
    <w:rsid w:val="006E0E4B"/>
    <w:rsid w:val="006E4C89"/>
    <w:rsid w:val="00753EF4"/>
    <w:rsid w:val="00770FE4"/>
    <w:rsid w:val="00774119"/>
    <w:rsid w:val="00785180"/>
    <w:rsid w:val="0079517B"/>
    <w:rsid w:val="007A0FA7"/>
    <w:rsid w:val="007A5D63"/>
    <w:rsid w:val="007B6366"/>
    <w:rsid w:val="007F7AEB"/>
    <w:rsid w:val="00825598"/>
    <w:rsid w:val="008508C0"/>
    <w:rsid w:val="00867E9B"/>
    <w:rsid w:val="008B2537"/>
    <w:rsid w:val="008B5D57"/>
    <w:rsid w:val="008D77D8"/>
    <w:rsid w:val="008E0A97"/>
    <w:rsid w:val="008F3CD1"/>
    <w:rsid w:val="00903E68"/>
    <w:rsid w:val="00974D44"/>
    <w:rsid w:val="009A2133"/>
    <w:rsid w:val="009F5BBC"/>
    <w:rsid w:val="00A004F5"/>
    <w:rsid w:val="00A2496A"/>
    <w:rsid w:val="00A249EC"/>
    <w:rsid w:val="00A41470"/>
    <w:rsid w:val="00A61FBD"/>
    <w:rsid w:val="00AB229B"/>
    <w:rsid w:val="00AC4BE4"/>
    <w:rsid w:val="00AE66D4"/>
    <w:rsid w:val="00AF5A51"/>
    <w:rsid w:val="00B25014"/>
    <w:rsid w:val="00B518AF"/>
    <w:rsid w:val="00B52119"/>
    <w:rsid w:val="00B570CE"/>
    <w:rsid w:val="00B90589"/>
    <w:rsid w:val="00B93DF1"/>
    <w:rsid w:val="00BA5ADA"/>
    <w:rsid w:val="00BD226B"/>
    <w:rsid w:val="00C0471C"/>
    <w:rsid w:val="00C15BA4"/>
    <w:rsid w:val="00C44250"/>
    <w:rsid w:val="00C4609D"/>
    <w:rsid w:val="00C5642B"/>
    <w:rsid w:val="00C76829"/>
    <w:rsid w:val="00C81B1A"/>
    <w:rsid w:val="00C82E96"/>
    <w:rsid w:val="00C93AE4"/>
    <w:rsid w:val="00C96D86"/>
    <w:rsid w:val="00CB3317"/>
    <w:rsid w:val="00CD4927"/>
    <w:rsid w:val="00CE7089"/>
    <w:rsid w:val="00CF7566"/>
    <w:rsid w:val="00D073E9"/>
    <w:rsid w:val="00D30047"/>
    <w:rsid w:val="00D42CF3"/>
    <w:rsid w:val="00D50824"/>
    <w:rsid w:val="00DA720E"/>
    <w:rsid w:val="00DE49A1"/>
    <w:rsid w:val="00DF6D60"/>
    <w:rsid w:val="00E00751"/>
    <w:rsid w:val="00E07B82"/>
    <w:rsid w:val="00E07E1C"/>
    <w:rsid w:val="00E32A8B"/>
    <w:rsid w:val="00E607AA"/>
    <w:rsid w:val="00EA45BB"/>
    <w:rsid w:val="00EA632C"/>
    <w:rsid w:val="00F52D4A"/>
    <w:rsid w:val="00FA39B2"/>
    <w:rsid w:val="00FC6AF9"/>
    <w:rsid w:val="00FD2FAD"/>
    <w:rsid w:val="00FD3B91"/>
    <w:rsid w:val="00FD5E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873F"/>
  <w15:docId w15:val="{C7E0B5A0-DF5D-4895-92D0-D8A6C757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BB4"/>
  </w:style>
  <w:style w:type="paragraph" w:styleId="Heading2">
    <w:name w:val="heading 2"/>
    <w:basedOn w:val="Normal"/>
    <w:next w:val="Normal"/>
    <w:link w:val="Heading2Char"/>
    <w:uiPriority w:val="9"/>
    <w:semiHidden/>
    <w:unhideWhenUsed/>
    <w:qFormat/>
    <w:rsid w:val="00FD3B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817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A7"/>
    <w:rPr>
      <w:rFonts w:ascii="Tahoma" w:hAnsi="Tahoma" w:cs="Tahoma"/>
      <w:sz w:val="16"/>
      <w:szCs w:val="16"/>
    </w:rPr>
  </w:style>
  <w:style w:type="paragraph" w:styleId="Header">
    <w:name w:val="header"/>
    <w:basedOn w:val="Normal"/>
    <w:link w:val="HeaderChar"/>
    <w:uiPriority w:val="99"/>
    <w:unhideWhenUsed/>
    <w:rsid w:val="00CB3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317"/>
  </w:style>
  <w:style w:type="paragraph" w:styleId="Footer">
    <w:name w:val="footer"/>
    <w:basedOn w:val="Normal"/>
    <w:link w:val="FooterChar"/>
    <w:uiPriority w:val="99"/>
    <w:unhideWhenUsed/>
    <w:rsid w:val="00CB3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317"/>
  </w:style>
  <w:style w:type="paragraph" w:styleId="HTMLPreformatted">
    <w:name w:val="HTML Preformatted"/>
    <w:basedOn w:val="Normal"/>
    <w:link w:val="HTMLPreformattedChar"/>
    <w:uiPriority w:val="99"/>
    <w:unhideWhenUsed/>
    <w:rsid w:val="006C0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6C0F3B"/>
    <w:rPr>
      <w:rFonts w:ascii="Courier New" w:eastAsia="Times New Roman" w:hAnsi="Courier New" w:cs="Courier New"/>
      <w:color w:val="000000"/>
      <w:sz w:val="20"/>
      <w:szCs w:val="20"/>
      <w:lang w:eastAsia="en-GB"/>
    </w:rPr>
  </w:style>
  <w:style w:type="paragraph" w:styleId="NoSpacing">
    <w:name w:val="No Spacing"/>
    <w:uiPriority w:val="1"/>
    <w:qFormat/>
    <w:rsid w:val="006C0F3B"/>
    <w:pPr>
      <w:spacing w:after="0" w:line="240" w:lineRule="auto"/>
    </w:pPr>
  </w:style>
  <w:style w:type="table" w:styleId="TableGrid">
    <w:name w:val="Table Grid"/>
    <w:basedOn w:val="TableNormal"/>
    <w:uiPriority w:val="59"/>
    <w:rsid w:val="006C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17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08179B"/>
  </w:style>
  <w:style w:type="character" w:customStyle="1" w:styleId="apple-converted-space">
    <w:name w:val="apple-converted-space"/>
    <w:basedOn w:val="DefaultParagraphFont"/>
    <w:rsid w:val="0008179B"/>
  </w:style>
  <w:style w:type="character" w:customStyle="1" w:styleId="Heading3Char">
    <w:name w:val="Heading 3 Char"/>
    <w:basedOn w:val="DefaultParagraphFont"/>
    <w:link w:val="Heading3"/>
    <w:uiPriority w:val="9"/>
    <w:rsid w:val="0008179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8179B"/>
    <w:rPr>
      <w:b/>
      <w:bCs/>
    </w:rPr>
  </w:style>
  <w:style w:type="character" w:styleId="Hyperlink">
    <w:name w:val="Hyperlink"/>
    <w:basedOn w:val="DefaultParagraphFont"/>
    <w:uiPriority w:val="99"/>
    <w:unhideWhenUsed/>
    <w:rsid w:val="0008179B"/>
    <w:rPr>
      <w:color w:val="0000FF"/>
      <w:u w:val="single"/>
    </w:rPr>
  </w:style>
  <w:style w:type="paragraph" w:styleId="ListParagraph">
    <w:name w:val="List Paragraph"/>
    <w:basedOn w:val="Normal"/>
    <w:uiPriority w:val="34"/>
    <w:qFormat/>
    <w:rsid w:val="002D4E1D"/>
    <w:pPr>
      <w:ind w:left="720"/>
      <w:contextualSpacing/>
    </w:pPr>
  </w:style>
  <w:style w:type="paragraph" w:styleId="Revision">
    <w:name w:val="Revision"/>
    <w:hidden/>
    <w:uiPriority w:val="99"/>
    <w:semiHidden/>
    <w:rsid w:val="00D50824"/>
    <w:pPr>
      <w:spacing w:after="0" w:line="240" w:lineRule="auto"/>
    </w:pPr>
  </w:style>
  <w:style w:type="character" w:customStyle="1" w:styleId="Heading2Char">
    <w:name w:val="Heading 2 Char"/>
    <w:basedOn w:val="DefaultParagraphFont"/>
    <w:link w:val="Heading2"/>
    <w:uiPriority w:val="9"/>
    <w:semiHidden/>
    <w:rsid w:val="00FD3B9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C4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59495">
      <w:bodyDiv w:val="1"/>
      <w:marLeft w:val="0"/>
      <w:marRight w:val="0"/>
      <w:marTop w:val="0"/>
      <w:marBottom w:val="0"/>
      <w:divBdr>
        <w:top w:val="none" w:sz="0" w:space="0" w:color="auto"/>
        <w:left w:val="none" w:sz="0" w:space="0" w:color="auto"/>
        <w:bottom w:val="none" w:sz="0" w:space="0" w:color="auto"/>
        <w:right w:val="none" w:sz="0" w:space="0" w:color="auto"/>
      </w:divBdr>
      <w:divsChild>
        <w:div w:id="1241141677">
          <w:marLeft w:val="0"/>
          <w:marRight w:val="0"/>
          <w:marTop w:val="0"/>
          <w:marBottom w:val="0"/>
          <w:divBdr>
            <w:top w:val="none" w:sz="0" w:space="0" w:color="auto"/>
            <w:left w:val="none" w:sz="0" w:space="0" w:color="auto"/>
            <w:bottom w:val="none" w:sz="0" w:space="0" w:color="auto"/>
            <w:right w:val="none" w:sz="0" w:space="0" w:color="auto"/>
          </w:divBdr>
        </w:div>
        <w:div w:id="224030125">
          <w:marLeft w:val="0"/>
          <w:marRight w:val="0"/>
          <w:marTop w:val="0"/>
          <w:marBottom w:val="0"/>
          <w:divBdr>
            <w:top w:val="none" w:sz="0" w:space="0" w:color="auto"/>
            <w:left w:val="none" w:sz="0" w:space="0" w:color="auto"/>
            <w:bottom w:val="none" w:sz="0" w:space="0" w:color="auto"/>
            <w:right w:val="none" w:sz="0" w:space="0" w:color="auto"/>
          </w:divBdr>
        </w:div>
        <w:div w:id="603807135">
          <w:marLeft w:val="0"/>
          <w:marRight w:val="0"/>
          <w:marTop w:val="0"/>
          <w:marBottom w:val="0"/>
          <w:divBdr>
            <w:top w:val="none" w:sz="0" w:space="0" w:color="auto"/>
            <w:left w:val="none" w:sz="0" w:space="0" w:color="auto"/>
            <w:bottom w:val="none" w:sz="0" w:space="0" w:color="auto"/>
            <w:right w:val="none" w:sz="0" w:space="0" w:color="auto"/>
          </w:divBdr>
        </w:div>
        <w:div w:id="991954947">
          <w:marLeft w:val="0"/>
          <w:marRight w:val="0"/>
          <w:marTop w:val="0"/>
          <w:marBottom w:val="0"/>
          <w:divBdr>
            <w:top w:val="none" w:sz="0" w:space="0" w:color="auto"/>
            <w:left w:val="none" w:sz="0" w:space="0" w:color="auto"/>
            <w:bottom w:val="none" w:sz="0" w:space="0" w:color="auto"/>
            <w:right w:val="none" w:sz="0" w:space="0" w:color="auto"/>
          </w:divBdr>
        </w:div>
        <w:div w:id="1389457799">
          <w:marLeft w:val="0"/>
          <w:marRight w:val="0"/>
          <w:marTop w:val="0"/>
          <w:marBottom w:val="0"/>
          <w:divBdr>
            <w:top w:val="none" w:sz="0" w:space="0" w:color="auto"/>
            <w:left w:val="none" w:sz="0" w:space="0" w:color="auto"/>
            <w:bottom w:val="none" w:sz="0" w:space="0" w:color="auto"/>
            <w:right w:val="none" w:sz="0" w:space="0" w:color="auto"/>
          </w:divBdr>
        </w:div>
        <w:div w:id="1842160552">
          <w:marLeft w:val="0"/>
          <w:marRight w:val="0"/>
          <w:marTop w:val="0"/>
          <w:marBottom w:val="0"/>
          <w:divBdr>
            <w:top w:val="none" w:sz="0" w:space="0" w:color="auto"/>
            <w:left w:val="none" w:sz="0" w:space="0" w:color="auto"/>
            <w:bottom w:val="none" w:sz="0" w:space="0" w:color="auto"/>
            <w:right w:val="none" w:sz="0" w:space="0" w:color="auto"/>
          </w:divBdr>
        </w:div>
        <w:div w:id="19479671">
          <w:marLeft w:val="0"/>
          <w:marRight w:val="0"/>
          <w:marTop w:val="0"/>
          <w:marBottom w:val="0"/>
          <w:divBdr>
            <w:top w:val="none" w:sz="0" w:space="0" w:color="auto"/>
            <w:left w:val="none" w:sz="0" w:space="0" w:color="auto"/>
            <w:bottom w:val="none" w:sz="0" w:space="0" w:color="auto"/>
            <w:right w:val="none" w:sz="0" w:space="0" w:color="auto"/>
          </w:divBdr>
        </w:div>
        <w:div w:id="1310744163">
          <w:marLeft w:val="0"/>
          <w:marRight w:val="0"/>
          <w:marTop w:val="0"/>
          <w:marBottom w:val="0"/>
          <w:divBdr>
            <w:top w:val="none" w:sz="0" w:space="0" w:color="auto"/>
            <w:left w:val="none" w:sz="0" w:space="0" w:color="auto"/>
            <w:bottom w:val="none" w:sz="0" w:space="0" w:color="auto"/>
            <w:right w:val="none" w:sz="0" w:space="0" w:color="auto"/>
          </w:divBdr>
        </w:div>
        <w:div w:id="414671833">
          <w:marLeft w:val="0"/>
          <w:marRight w:val="0"/>
          <w:marTop w:val="0"/>
          <w:marBottom w:val="0"/>
          <w:divBdr>
            <w:top w:val="none" w:sz="0" w:space="0" w:color="auto"/>
            <w:left w:val="none" w:sz="0" w:space="0" w:color="auto"/>
            <w:bottom w:val="none" w:sz="0" w:space="0" w:color="auto"/>
            <w:right w:val="none" w:sz="0" w:space="0" w:color="auto"/>
          </w:divBdr>
        </w:div>
        <w:div w:id="735276907">
          <w:marLeft w:val="0"/>
          <w:marRight w:val="0"/>
          <w:marTop w:val="0"/>
          <w:marBottom w:val="0"/>
          <w:divBdr>
            <w:top w:val="none" w:sz="0" w:space="0" w:color="auto"/>
            <w:left w:val="none" w:sz="0" w:space="0" w:color="auto"/>
            <w:bottom w:val="none" w:sz="0" w:space="0" w:color="auto"/>
            <w:right w:val="none" w:sz="0" w:space="0" w:color="auto"/>
          </w:divBdr>
        </w:div>
        <w:div w:id="269171222">
          <w:marLeft w:val="0"/>
          <w:marRight w:val="0"/>
          <w:marTop w:val="0"/>
          <w:marBottom w:val="0"/>
          <w:divBdr>
            <w:top w:val="none" w:sz="0" w:space="0" w:color="auto"/>
            <w:left w:val="none" w:sz="0" w:space="0" w:color="auto"/>
            <w:bottom w:val="none" w:sz="0" w:space="0" w:color="auto"/>
            <w:right w:val="none" w:sz="0" w:space="0" w:color="auto"/>
          </w:divBdr>
        </w:div>
        <w:div w:id="749083417">
          <w:marLeft w:val="0"/>
          <w:marRight w:val="0"/>
          <w:marTop w:val="0"/>
          <w:marBottom w:val="0"/>
          <w:divBdr>
            <w:top w:val="none" w:sz="0" w:space="0" w:color="auto"/>
            <w:left w:val="none" w:sz="0" w:space="0" w:color="auto"/>
            <w:bottom w:val="none" w:sz="0" w:space="0" w:color="auto"/>
            <w:right w:val="none" w:sz="0" w:space="0" w:color="auto"/>
          </w:divBdr>
          <w:divsChild>
            <w:div w:id="18798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3907">
      <w:bodyDiv w:val="1"/>
      <w:marLeft w:val="0"/>
      <w:marRight w:val="0"/>
      <w:marTop w:val="0"/>
      <w:marBottom w:val="0"/>
      <w:divBdr>
        <w:top w:val="none" w:sz="0" w:space="0" w:color="auto"/>
        <w:left w:val="none" w:sz="0" w:space="0" w:color="auto"/>
        <w:bottom w:val="none" w:sz="0" w:space="0" w:color="auto"/>
        <w:right w:val="none" w:sz="0" w:space="0" w:color="auto"/>
      </w:divBdr>
    </w:div>
    <w:div w:id="935556056">
      <w:bodyDiv w:val="1"/>
      <w:marLeft w:val="0"/>
      <w:marRight w:val="0"/>
      <w:marTop w:val="0"/>
      <w:marBottom w:val="0"/>
      <w:divBdr>
        <w:top w:val="none" w:sz="0" w:space="0" w:color="auto"/>
        <w:left w:val="none" w:sz="0" w:space="0" w:color="auto"/>
        <w:bottom w:val="none" w:sz="0" w:space="0" w:color="auto"/>
        <w:right w:val="none" w:sz="0" w:space="0" w:color="auto"/>
      </w:divBdr>
    </w:div>
    <w:div w:id="1383942132">
      <w:bodyDiv w:val="1"/>
      <w:marLeft w:val="0"/>
      <w:marRight w:val="0"/>
      <w:marTop w:val="0"/>
      <w:marBottom w:val="0"/>
      <w:divBdr>
        <w:top w:val="none" w:sz="0" w:space="0" w:color="auto"/>
        <w:left w:val="none" w:sz="0" w:space="0" w:color="auto"/>
        <w:bottom w:val="none" w:sz="0" w:space="0" w:color="auto"/>
        <w:right w:val="none" w:sz="0" w:space="0" w:color="auto"/>
      </w:divBdr>
      <w:divsChild>
        <w:div w:id="1351225946">
          <w:marLeft w:val="0"/>
          <w:marRight w:val="0"/>
          <w:marTop w:val="0"/>
          <w:marBottom w:val="0"/>
          <w:divBdr>
            <w:top w:val="none" w:sz="0" w:space="0" w:color="auto"/>
            <w:left w:val="none" w:sz="0" w:space="0" w:color="auto"/>
            <w:bottom w:val="none" w:sz="0" w:space="0" w:color="auto"/>
            <w:right w:val="none" w:sz="0" w:space="0" w:color="auto"/>
          </w:divBdr>
        </w:div>
        <w:div w:id="51924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zebedeeirwwf@gmail.com" TargetMode="External"/><Relationship Id="rId4" Type="http://schemas.openxmlformats.org/officeDocument/2006/relationships/settings" Target="settings.xml"/><Relationship Id="rId9" Type="http://schemas.openxmlformats.org/officeDocument/2006/relationships/hyperlink" Target="mailto:cathalocaoimh.irww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8510-5115-40CC-BF45-C6B4A4C6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dc:creator>
  <cp:lastModifiedBy>Cathal O'Caoimh</cp:lastModifiedBy>
  <cp:revision>9</cp:revision>
  <cp:lastPrinted>2017-05-16T10:18:00Z</cp:lastPrinted>
  <dcterms:created xsi:type="dcterms:W3CDTF">2023-09-16T20:10:00Z</dcterms:created>
  <dcterms:modified xsi:type="dcterms:W3CDTF">2023-11-16T18:57:00Z</dcterms:modified>
</cp:coreProperties>
</file>